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BB2204" w:rsidRDefault="00BB2204">
      <w:pP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BB2204" w:rsidRDefault="00BB2204" w:rsidP="00226AC2">
      <w:pPr>
        <w:jc w:val="center"/>
        <w:rPr>
          <w:rFonts w:ascii="Times New Roman" w:hAnsi="Times New Roman" w:cs="Times New Roman"/>
          <w:sz w:val="24"/>
          <w:szCs w:val="24"/>
        </w:rPr>
      </w:pPr>
      <w:r>
        <w:rPr>
          <w:rFonts w:ascii="Times New Roman" w:hAnsi="Times New Roman" w:cs="Times New Roman"/>
          <w:sz w:val="24"/>
          <w:szCs w:val="24"/>
        </w:rPr>
        <w:t>Financial Metrics</w:t>
      </w:r>
    </w:p>
    <w:p w:rsidR="00BB2204" w:rsidRDefault="00BB2204" w:rsidP="00226AC2">
      <w:pPr>
        <w:jc w:val="center"/>
        <w:rPr>
          <w:rFonts w:ascii="Times New Roman" w:hAnsi="Times New Roman" w:cs="Times New Roman"/>
          <w:sz w:val="24"/>
          <w:szCs w:val="24"/>
        </w:rPr>
      </w:pPr>
      <w:r>
        <w:rPr>
          <w:rFonts w:ascii="Times New Roman" w:hAnsi="Times New Roman" w:cs="Times New Roman"/>
          <w:sz w:val="24"/>
          <w:szCs w:val="24"/>
        </w:rPr>
        <w:t>Name</w:t>
      </w:r>
    </w:p>
    <w:p w:rsidR="00BB2204" w:rsidRDefault="00226AC2" w:rsidP="00226AC2">
      <w:pPr>
        <w:jc w:val="center"/>
        <w:rPr>
          <w:rFonts w:ascii="Times New Roman" w:hAnsi="Times New Roman" w:cs="Times New Roman"/>
          <w:sz w:val="24"/>
          <w:szCs w:val="24"/>
        </w:rPr>
      </w:pPr>
      <w:r>
        <w:rPr>
          <w:rFonts w:ascii="Times New Roman" w:hAnsi="Times New Roman" w:cs="Times New Roman"/>
          <w:sz w:val="24"/>
          <w:szCs w:val="24"/>
        </w:rPr>
        <w:t>Institution</w:t>
      </w: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226AC2" w:rsidRDefault="00226AC2" w:rsidP="00226AC2">
      <w:pPr>
        <w:jc w:val="center"/>
        <w:rPr>
          <w:rFonts w:ascii="Times New Roman" w:hAnsi="Times New Roman" w:cs="Times New Roman"/>
          <w:sz w:val="24"/>
          <w:szCs w:val="24"/>
        </w:rPr>
      </w:pPr>
    </w:p>
    <w:p w:rsidR="00CD5F84" w:rsidRPr="00BB2204" w:rsidRDefault="00035DBB" w:rsidP="00BB2204">
      <w:pPr>
        <w:spacing w:line="480" w:lineRule="auto"/>
        <w:ind w:firstLine="720"/>
        <w:rPr>
          <w:rFonts w:ascii="Times New Roman" w:hAnsi="Times New Roman" w:cs="Times New Roman"/>
          <w:sz w:val="24"/>
          <w:szCs w:val="24"/>
        </w:rPr>
      </w:pPr>
      <w:r w:rsidRPr="00BB2204">
        <w:rPr>
          <w:rFonts w:ascii="Times New Roman" w:hAnsi="Times New Roman" w:cs="Times New Roman"/>
          <w:sz w:val="24"/>
          <w:szCs w:val="24"/>
        </w:rPr>
        <w:lastRenderedPageBreak/>
        <w:t>Financial metrics are used to analyze the progress of a company. The fin</w:t>
      </w:r>
      <w:r w:rsidR="00BB2204" w:rsidRPr="00BB2204">
        <w:rPr>
          <w:rFonts w:ascii="Times New Roman" w:hAnsi="Times New Roman" w:cs="Times New Roman"/>
          <w:sz w:val="24"/>
          <w:szCs w:val="24"/>
        </w:rPr>
        <w:t>ancial metrics include Current Ratio, return on E</w:t>
      </w:r>
      <w:r w:rsidR="00BB2204">
        <w:rPr>
          <w:rFonts w:ascii="Times New Roman" w:hAnsi="Times New Roman" w:cs="Times New Roman"/>
          <w:sz w:val="24"/>
          <w:szCs w:val="24"/>
        </w:rPr>
        <w:t>quity R</w:t>
      </w:r>
      <w:r w:rsidRPr="00BB2204">
        <w:rPr>
          <w:rFonts w:ascii="Times New Roman" w:hAnsi="Times New Roman" w:cs="Times New Roman"/>
          <w:sz w:val="24"/>
          <w:szCs w:val="24"/>
        </w:rPr>
        <w:t>atio</w:t>
      </w:r>
      <w:r w:rsidR="00BB2204" w:rsidRPr="00BB2204">
        <w:rPr>
          <w:rFonts w:ascii="Times New Roman" w:hAnsi="Times New Roman" w:cs="Times New Roman"/>
          <w:sz w:val="24"/>
          <w:szCs w:val="24"/>
        </w:rPr>
        <w:t>(ROE)</w:t>
      </w:r>
      <w:r w:rsidR="00BB2204">
        <w:rPr>
          <w:rFonts w:ascii="Times New Roman" w:hAnsi="Times New Roman" w:cs="Times New Roman"/>
          <w:sz w:val="24"/>
          <w:szCs w:val="24"/>
        </w:rPr>
        <w:t xml:space="preserve">, </w:t>
      </w:r>
      <w:r w:rsidR="00D55889">
        <w:rPr>
          <w:rFonts w:ascii="Times New Roman" w:hAnsi="Times New Roman" w:cs="Times New Roman"/>
          <w:sz w:val="24"/>
          <w:szCs w:val="24"/>
        </w:rPr>
        <w:t xml:space="preserve">Debt to equity </w:t>
      </w:r>
      <w:r w:rsidR="00405B79">
        <w:rPr>
          <w:rFonts w:ascii="Times New Roman" w:hAnsi="Times New Roman" w:cs="Times New Roman"/>
          <w:sz w:val="24"/>
          <w:szCs w:val="24"/>
        </w:rPr>
        <w:t>ratio, and P</w:t>
      </w:r>
      <w:r w:rsidR="00D55889">
        <w:rPr>
          <w:rFonts w:ascii="Times New Roman" w:hAnsi="Times New Roman" w:cs="Times New Roman"/>
          <w:sz w:val="24"/>
          <w:szCs w:val="24"/>
        </w:rPr>
        <w:t xml:space="preserve">rofit </w:t>
      </w:r>
      <w:r w:rsidR="00405B79">
        <w:rPr>
          <w:rFonts w:ascii="Times New Roman" w:hAnsi="Times New Roman" w:cs="Times New Roman"/>
          <w:sz w:val="24"/>
          <w:szCs w:val="24"/>
        </w:rPr>
        <w:t>Margins.</w:t>
      </w:r>
      <w:r w:rsidR="00BB2204">
        <w:rPr>
          <w:rFonts w:ascii="Times New Roman" w:hAnsi="Times New Roman" w:cs="Times New Roman"/>
          <w:sz w:val="24"/>
          <w:szCs w:val="24"/>
        </w:rPr>
        <w:t xml:space="preserve"> Current R</w:t>
      </w:r>
      <w:r w:rsidRPr="00BB2204">
        <w:rPr>
          <w:rFonts w:ascii="Times New Roman" w:hAnsi="Times New Roman" w:cs="Times New Roman"/>
          <w:sz w:val="24"/>
          <w:szCs w:val="24"/>
        </w:rPr>
        <w:t>atio is the ratio of current assets compared to current liabilities</w:t>
      </w:r>
      <w:r w:rsidR="00BB2204">
        <w:rPr>
          <w:rFonts w:ascii="Times New Roman" w:hAnsi="Times New Roman" w:cs="Times New Roman"/>
          <w:sz w:val="24"/>
          <w:szCs w:val="24"/>
        </w:rPr>
        <w:t>. Current R</w:t>
      </w:r>
      <w:r w:rsidR="003E1389">
        <w:rPr>
          <w:rFonts w:ascii="Times New Roman" w:hAnsi="Times New Roman" w:cs="Times New Roman"/>
          <w:sz w:val="24"/>
          <w:szCs w:val="24"/>
        </w:rPr>
        <w:t xml:space="preserve">atio measures the </w:t>
      </w:r>
      <w:r w:rsidRPr="00BB2204">
        <w:rPr>
          <w:rFonts w:ascii="Times New Roman" w:hAnsi="Times New Roman" w:cs="Times New Roman"/>
          <w:sz w:val="24"/>
          <w:szCs w:val="24"/>
        </w:rPr>
        <w:t>liquidity</w:t>
      </w:r>
      <w:r w:rsidR="003E1389">
        <w:rPr>
          <w:rFonts w:ascii="Times New Roman" w:hAnsi="Times New Roman" w:cs="Times New Roman"/>
          <w:sz w:val="24"/>
          <w:szCs w:val="24"/>
        </w:rPr>
        <w:t xml:space="preserve"> of the </w:t>
      </w:r>
      <w:r w:rsidR="00405B79">
        <w:rPr>
          <w:rFonts w:ascii="Times New Roman" w:hAnsi="Times New Roman" w:cs="Times New Roman"/>
          <w:sz w:val="24"/>
          <w:szCs w:val="24"/>
        </w:rPr>
        <w:t>company</w:t>
      </w:r>
      <w:r w:rsidR="00405B79" w:rsidRPr="00BB2204">
        <w:rPr>
          <w:rFonts w:ascii="Times New Roman" w:hAnsi="Times New Roman" w:cs="Times New Roman"/>
          <w:sz w:val="24"/>
          <w:szCs w:val="24"/>
        </w:rPr>
        <w:t>.</w:t>
      </w:r>
      <w:r w:rsidR="00405B79">
        <w:rPr>
          <w:rFonts w:ascii="Times New Roman" w:hAnsi="Times New Roman" w:cs="Times New Roman"/>
          <w:sz w:val="24"/>
          <w:szCs w:val="24"/>
        </w:rPr>
        <w:t xml:space="preserve"> It measures the ability of a company to repay its</w:t>
      </w:r>
      <w:r w:rsidR="00405B79" w:rsidRPr="00BB2204">
        <w:rPr>
          <w:rFonts w:ascii="Times New Roman" w:hAnsi="Times New Roman" w:cs="Times New Roman"/>
          <w:sz w:val="24"/>
          <w:szCs w:val="24"/>
        </w:rPr>
        <w:t xml:space="preserve"> short term debts using current assets.</w:t>
      </w:r>
    </w:p>
    <w:p w:rsidR="00035DBB" w:rsidRDefault="00D04C57" w:rsidP="00D55889">
      <w:pPr>
        <w:spacing w:line="480" w:lineRule="auto"/>
        <w:rPr>
          <w:rFonts w:ascii="Times New Roman" w:hAnsi="Times New Roman" w:cs="Times New Roman"/>
          <w:sz w:val="24"/>
          <w:szCs w:val="24"/>
        </w:rPr>
      </w:pPr>
      <w:r w:rsidRPr="00BB220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5F01EBF" wp14:editId="47D872A2">
                <wp:simplePos x="0" y="0"/>
                <wp:positionH relativeFrom="column">
                  <wp:posOffset>1133475</wp:posOffset>
                </wp:positionH>
                <wp:positionV relativeFrom="paragraph">
                  <wp:posOffset>102235</wp:posOffset>
                </wp:positionV>
                <wp:extent cx="2320956" cy="542925"/>
                <wp:effectExtent l="0" t="0" r="0" b="0"/>
                <wp:wrapNone/>
                <wp:docPr id="2" name="TextBox 1"/>
                <wp:cNvGraphicFramePr/>
                <a:graphic xmlns:a="http://schemas.openxmlformats.org/drawingml/2006/main">
                  <a:graphicData uri="http://schemas.microsoft.com/office/word/2010/wordprocessingShape">
                    <wps:wsp>
                      <wps:cNvSpPr txBox="1"/>
                      <wps:spPr>
                        <a:xfrm>
                          <a:off x="0" y="0"/>
                          <a:ext cx="2320956" cy="542925"/>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035DBB" w:rsidRDefault="00035DBB" w:rsidP="00035DBB">
                            <w:pPr>
                              <w:pStyle w:val="NormalWeb"/>
                              <w:spacing w:before="0" w:beforeAutospacing="0" w:after="0" w:afterAutospacing="0"/>
                            </w:pPr>
                            <m:oMathPara>
                              <m:oMathParaPr>
                                <m:jc m:val="centerGroup"/>
                              </m:oMathParaPr>
                              <m:oMath>
                                <m:r>
                                  <m:rPr>
                                    <m:sty m:val="p"/>
                                  </m:rPr>
                                  <w:rPr>
                                    <w:rFonts w:ascii="Cambria Math" w:hAnsi="Cambria Math" w:cstheme="minorBidi"/>
                                    <w:color w:val="000000" w:themeColor="text1"/>
                                    <w:sz w:val="22"/>
                                    <w:szCs w:val="22"/>
                                  </w:rPr>
                                  <m:t>Current Ratio= </m:t>
                                </m:r>
                                <m:f>
                                  <m:fPr>
                                    <m:ctrlPr>
                                      <w:rPr>
                                        <w:rFonts w:ascii="Cambria Math" w:hAnsi="Cambria Math" w:cstheme="minorBidi"/>
                                        <w:i/>
                                        <w:iCs/>
                                        <w:color w:val="000000" w:themeColor="text1"/>
                                        <w:sz w:val="22"/>
                                        <w:szCs w:val="22"/>
                                      </w:rPr>
                                    </m:ctrlPr>
                                  </m:fPr>
                                  <m:num>
                                    <m:r>
                                      <m:rPr>
                                        <m:sty m:val="p"/>
                                      </m:rPr>
                                      <w:rPr>
                                        <w:rFonts w:ascii="Cambria Math" w:hAnsi="Cambria Math" w:cstheme="minorBidi"/>
                                        <w:color w:val="000000" w:themeColor="text1"/>
                                        <w:sz w:val="22"/>
                                        <w:szCs w:val="22"/>
                                      </w:rPr>
                                      <m:t>Current Assets</m:t>
                                    </m:r>
                                  </m:num>
                                  <m:den>
                                    <m:r>
                                      <m:rPr>
                                        <m:sty m:val="p"/>
                                      </m:rPr>
                                      <w:rPr>
                                        <w:rFonts w:ascii="Cambria Math" w:hAnsi="Cambria Math" w:cstheme="minorBidi"/>
                                        <w:color w:val="000000" w:themeColor="text1"/>
                                        <w:sz w:val="22"/>
                                        <w:szCs w:val="22"/>
                                      </w:rPr>
                                      <m:t>Current Liabilities</m:t>
                                    </m:r>
                                  </m:den>
                                </m:f>
                              </m:oMath>
                            </m:oMathPara>
                          </w:p>
                        </w:txbxContent>
                      </wps:txbx>
                      <wps:bodyPr vertOverflow="clip" horzOverflow="clip" wrap="none" lIns="0" tIns="0" rIns="0" bIns="0" rtlCol="0" anchor="t">
                        <a:noAutofit/>
                      </wps:bodyPr>
                    </wps:wsp>
                  </a:graphicData>
                </a:graphic>
              </wp:anchor>
            </w:drawing>
          </mc:Choice>
          <mc:Fallback>
            <w:pict>
              <v:shapetype w14:anchorId="65F01EBF" id="_x0000_t202" coordsize="21600,21600" o:spt="202" path="m,l,21600r21600,l21600,xe">
                <v:stroke joinstyle="miter"/>
                <v:path gradientshapeok="t" o:connecttype="rect"/>
              </v:shapetype>
              <v:shape id="TextBox 1" o:spid="_x0000_s1026" type="#_x0000_t202" style="position:absolute;margin-left:89.25pt;margin-top:8.05pt;width:182.75pt;height:42.7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EJgDAIAAG4EAAAOAAAAZHJzL2Uyb0RvYy54bWysVMFu2zAMvQ/YPwi6L068pViDOMXWosOA&#10;YS3W7gMUWYoFSKJAqbGzrx8lx+7QnTrsotAU+fT4SGZ7NTjLjgqjAd/w1WLJmfISWuMPDf/5ePvu&#10;I2cxCd8KC141/KQiv9q9fbPtw0bV0IFtFTIC8XHTh4Z3KYVNVUXZKSfiAoLydKkBnUj0iYeqRdET&#10;urNVvVxeVD1gGxCkipG8N+Ml3xV8rZVMd1pHlZhtOHFL5cRy7vNZ7bZic0AROiPPNMQ/sHDCeHp0&#10;hroRSbAnNH9BOSMRIui0kOAq0NpIVWqgalbLF9U8dCKoUguJE8MsU/x/sPL78R6ZaRtec+aFoxY9&#10;qiF9hoGtsjh9iBuKeQgUlQZyU5MnfyRnrnnQ6PIvVcPonmQ+zdISFpPkrN/Xy8v1BWeS7tYf6st6&#10;nWGq5+yAMX1R4Fg2Go7UuqKoOH6LaQydQvJjHm6NtdmfKY5UipVOVuUA638oTZUVRtkRJR721xbZ&#10;2H6aT2I6DQERKQk5UBPwK3PPKTlblal7Zf6cVN4Hn+Z8ZzxgEaLshMoFHAVNcxpKI4i4HuMnKUYB&#10;shZp2A/nHu6hPVELaVPTHR3aQt9waU3grAP89dLX00Y03NPKcma/ehq4vDyTgZOxnwxM9hrGFRNe&#10;EiLxK6Q9fHpKoE3pYOY0EjlzpaEuM3BewLw1f36XqOe/id1vAAAA//8DAFBLAwQUAAYACAAAACEA&#10;tCvL9d0AAAAKAQAADwAAAGRycy9kb3ducmV2LnhtbEyPwU7DMBBE70j9B2srcaO2URuiEKdCCI5U&#10;asuFmxNvk7SxHdlOG/6e5QS3nd3R7JtyO9uBXTHE3jsFciWAoWu86V2r4PP4/pADi0k7owfvUME3&#10;RthWi7tSF8bf3B6vh9QyCnGx0Aq6lMaC89h0aHVc+REd3U4+WJ1IhpaboG8Ubgf+KETGre4dfej0&#10;iK8dNpfDZBWcPnaX89u0F+dW5PglA8613Cl1v5xfnoElnNOfGX7xCR0qYqr95ExkA+mnfENWGjIJ&#10;jAyb9ZrK1bQQMgNelfx/heoHAAD//wMAUEsBAi0AFAAGAAgAAAAhALaDOJL+AAAA4QEAABMAAAAA&#10;AAAAAAAAAAAAAAAAAFtDb250ZW50X1R5cGVzXS54bWxQSwECLQAUAAYACAAAACEAOP0h/9YAAACU&#10;AQAACwAAAAAAAAAAAAAAAAAvAQAAX3JlbHMvLnJlbHNQSwECLQAUAAYACAAAACEA7PBCYAwCAABu&#10;BAAADgAAAAAAAAAAAAAAAAAuAgAAZHJzL2Uyb0RvYy54bWxQSwECLQAUAAYACAAAACEAtCvL9d0A&#10;AAAKAQAADwAAAAAAAAAAAAAAAABmBAAAZHJzL2Rvd25yZXYueG1sUEsFBgAAAAAEAAQA8wAAAHAF&#10;AAAAAA==&#10;" filled="f" stroked="f">
                <v:textbox inset="0,0,0,0">
                  <w:txbxContent>
                    <w:p w:rsidR="00035DBB" w:rsidRDefault="00035DBB" w:rsidP="00035DBB">
                      <w:pPr>
                        <w:pStyle w:val="NormalWeb"/>
                        <w:spacing w:before="0" w:beforeAutospacing="0" w:after="0" w:afterAutospacing="0"/>
                      </w:pPr>
                      <m:oMathPara>
                        <m:oMathParaPr>
                          <m:jc m:val="centerGroup"/>
                        </m:oMathParaPr>
                        <m:oMath>
                          <m:r>
                            <m:rPr>
                              <m:sty m:val="p"/>
                            </m:rPr>
                            <w:rPr>
                              <w:rFonts w:ascii="Cambria Math" w:hAnsi="Cambria Math" w:cstheme="minorBidi"/>
                              <w:color w:val="000000" w:themeColor="text1"/>
                              <w:sz w:val="22"/>
                              <w:szCs w:val="22"/>
                            </w:rPr>
                            <m:t>Current Ratio= </m:t>
                          </m:r>
                          <m:f>
                            <m:fPr>
                              <m:ctrlPr>
                                <w:rPr>
                                  <w:rFonts w:ascii="Cambria Math" w:hAnsi="Cambria Math" w:cstheme="minorBidi"/>
                                  <w:i/>
                                  <w:iCs/>
                                  <w:color w:val="000000" w:themeColor="text1"/>
                                  <w:sz w:val="22"/>
                                  <w:szCs w:val="22"/>
                                </w:rPr>
                              </m:ctrlPr>
                            </m:fPr>
                            <m:num>
                              <m:r>
                                <m:rPr>
                                  <m:sty m:val="p"/>
                                </m:rPr>
                                <w:rPr>
                                  <w:rFonts w:ascii="Cambria Math" w:hAnsi="Cambria Math" w:cstheme="minorBidi"/>
                                  <w:color w:val="000000" w:themeColor="text1"/>
                                  <w:sz w:val="22"/>
                                  <w:szCs w:val="22"/>
                                </w:rPr>
                                <m:t>Current Assets</m:t>
                              </m:r>
                            </m:num>
                            <m:den>
                              <m:r>
                                <m:rPr>
                                  <m:sty m:val="p"/>
                                </m:rPr>
                                <w:rPr>
                                  <w:rFonts w:ascii="Cambria Math" w:hAnsi="Cambria Math" w:cstheme="minorBidi"/>
                                  <w:color w:val="000000" w:themeColor="text1"/>
                                  <w:sz w:val="22"/>
                                  <w:szCs w:val="22"/>
                                </w:rPr>
                                <m:t>Current Liabilities</m:t>
                              </m:r>
                            </m:den>
                          </m:f>
                        </m:oMath>
                      </m:oMathPara>
                    </w:p>
                  </w:txbxContent>
                </v:textbox>
              </v:shape>
            </w:pict>
          </mc:Fallback>
        </mc:AlternateContent>
      </w:r>
    </w:p>
    <w:p w:rsidR="00405B79" w:rsidRPr="00BB2204" w:rsidRDefault="00405B79" w:rsidP="00D55889">
      <w:pPr>
        <w:spacing w:line="480" w:lineRule="auto"/>
        <w:rPr>
          <w:rFonts w:ascii="Times New Roman" w:hAnsi="Times New Roman" w:cs="Times New Roman"/>
          <w:sz w:val="24"/>
          <w:szCs w:val="24"/>
        </w:rPr>
      </w:pPr>
    </w:p>
    <w:p w:rsidR="00035DBB" w:rsidRPr="00BB2204" w:rsidRDefault="00035DBB" w:rsidP="00BB2204">
      <w:pPr>
        <w:spacing w:line="480" w:lineRule="auto"/>
        <w:rPr>
          <w:rFonts w:ascii="Times New Roman" w:hAnsi="Times New Roman" w:cs="Times New Roman"/>
          <w:sz w:val="24"/>
          <w:szCs w:val="24"/>
        </w:rPr>
      </w:pPr>
      <w:r w:rsidRPr="00BB2204">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4539F9D" wp14:editId="171EEBFB">
                <wp:simplePos x="0" y="0"/>
                <wp:positionH relativeFrom="column">
                  <wp:posOffset>952500</wp:posOffset>
                </wp:positionH>
                <wp:positionV relativeFrom="paragraph">
                  <wp:posOffset>342265</wp:posOffset>
                </wp:positionV>
                <wp:extent cx="3422925" cy="346570"/>
                <wp:effectExtent l="0" t="0" r="0" b="0"/>
                <wp:wrapNone/>
                <wp:docPr id="3" name="TextBox 2"/>
                <wp:cNvGraphicFramePr/>
                <a:graphic xmlns:a="http://schemas.openxmlformats.org/drawingml/2006/main">
                  <a:graphicData uri="http://schemas.microsoft.com/office/word/2010/wordprocessingShape">
                    <wps:wsp>
                      <wps:cNvSpPr txBox="1"/>
                      <wps:spPr>
                        <a:xfrm>
                          <a:off x="0" y="0"/>
                          <a:ext cx="3422925" cy="346570"/>
                        </a:xfrm>
                        <a:prstGeom prst="rect">
                          <a:avLst/>
                        </a:prstGeom>
                        <a:noFill/>
                      </wps:spPr>
                      <wps:style>
                        <a:lnRef idx="0">
                          <a:scrgbClr r="0" g="0" b="0"/>
                        </a:lnRef>
                        <a:fillRef idx="0">
                          <a:scrgbClr r="0" g="0" b="0"/>
                        </a:fillRef>
                        <a:effectRef idx="0">
                          <a:scrgbClr r="0" g="0" b="0"/>
                        </a:effectRef>
                        <a:fontRef idx="minor">
                          <a:schemeClr val="tx1"/>
                        </a:fontRef>
                      </wps:style>
                      <wps:txbx>
                        <w:txbxContent>
                          <w:p w:rsidR="00035DBB" w:rsidRDefault="00035DBB" w:rsidP="00035DBB">
                            <w:pPr>
                              <w:pStyle w:val="NormalWeb"/>
                              <w:spacing w:before="0" w:beforeAutospacing="0" w:after="0" w:afterAutospacing="0"/>
                            </w:pPr>
                            <m:oMathPara>
                              <m:oMathParaPr>
                                <m:jc m:val="centerGroup"/>
                              </m:oMathParaPr>
                              <m:oMath>
                                <m:r>
                                  <m:rPr>
                                    <m:sty m:val="p"/>
                                  </m:rPr>
                                  <w:rPr>
                                    <w:rFonts w:ascii="Cambria Math" w:hAnsi="Cambria Math" w:cstheme="minorBidi"/>
                                    <w:color w:val="000000" w:themeColor="text1"/>
                                    <w:sz w:val="22"/>
                                    <w:szCs w:val="22"/>
                                  </w:rPr>
                                  <m:t>Return on Equity </m:t>
                                </m:r>
                                <m:d>
                                  <m:dPr>
                                    <m:ctrlPr>
                                      <w:rPr>
                                        <w:rFonts w:ascii="Cambria Math" w:hAnsi="Cambria Math" w:cstheme="minorBidi"/>
                                        <w:i/>
                                        <w:iCs/>
                                        <w:color w:val="000000" w:themeColor="text1"/>
                                        <w:sz w:val="22"/>
                                        <w:szCs w:val="22"/>
                                      </w:rPr>
                                    </m:ctrlPr>
                                  </m:dPr>
                                  <m:e>
                                    <m:r>
                                      <m:rPr>
                                        <m:sty m:val="p"/>
                                      </m:rPr>
                                      <w:rPr>
                                        <w:rFonts w:ascii="Cambria Math" w:hAnsi="Cambria Math" w:cstheme="minorBidi"/>
                                        <w:color w:val="000000" w:themeColor="text1"/>
                                        <w:sz w:val="22"/>
                                        <w:szCs w:val="22"/>
                                      </w:rPr>
                                      <m:t>ROE</m:t>
                                    </m:r>
                                  </m:e>
                                </m:d>
                                <m:r>
                                  <m:rPr>
                                    <m:sty m:val="p"/>
                                  </m:rPr>
                                  <w:rPr>
                                    <w:rFonts w:ascii="Cambria Math" w:hAnsi="Cambria Math" w:cstheme="minorBidi"/>
                                    <w:color w:val="000000" w:themeColor="text1"/>
                                    <w:sz w:val="22"/>
                                    <w:szCs w:val="22"/>
                                  </w:rPr>
                                  <m:t>= </m:t>
                                </m:r>
                                <m:f>
                                  <m:fPr>
                                    <m:ctrlPr>
                                      <w:rPr>
                                        <w:rFonts w:ascii="Cambria Math" w:hAnsi="Cambria Math" w:cstheme="minorBidi"/>
                                        <w:i/>
                                        <w:iCs/>
                                        <w:color w:val="000000" w:themeColor="text1"/>
                                        <w:sz w:val="22"/>
                                        <w:szCs w:val="22"/>
                                      </w:rPr>
                                    </m:ctrlPr>
                                  </m:fPr>
                                  <m:num>
                                    <m:r>
                                      <m:rPr>
                                        <m:sty m:val="p"/>
                                      </m:rPr>
                                      <w:rPr>
                                        <w:rFonts w:ascii="Cambria Math" w:hAnsi="Cambria Math" w:cstheme="minorBidi"/>
                                        <w:color w:val="000000" w:themeColor="text1"/>
                                        <w:sz w:val="22"/>
                                        <w:szCs w:val="22"/>
                                      </w:rPr>
                                      <m:t>Net Income</m:t>
                                    </m:r>
                                  </m:num>
                                  <m:den>
                                    <m:r>
                                      <m:rPr>
                                        <m:sty m:val="p"/>
                                      </m:rPr>
                                      <w:rPr>
                                        <w:rFonts w:ascii="Cambria Math" w:hAnsi="Cambria Math" w:cstheme="minorBidi"/>
                                        <w:color w:val="000000" w:themeColor="text1"/>
                                        <w:sz w:val="22"/>
                                        <w:szCs w:val="22"/>
                                      </w:rPr>
                                      <m:t>Average shareholders Equity</m:t>
                                    </m:r>
                                  </m:den>
                                </m:f>
                              </m:oMath>
                            </m:oMathPara>
                          </w:p>
                        </w:txbxContent>
                      </wps:txbx>
                      <wps:bodyPr vertOverflow="clip" horzOverflow="clip" wrap="none" lIns="0" tIns="0" rIns="0" bIns="0" rtlCol="0" anchor="t">
                        <a:spAutoFit/>
                      </wps:bodyPr>
                    </wps:wsp>
                  </a:graphicData>
                </a:graphic>
              </wp:anchor>
            </w:drawing>
          </mc:Choice>
          <mc:Fallback>
            <w:pict>
              <v:shape w14:anchorId="04539F9D" id="TextBox 2" o:spid="_x0000_s1027" type="#_x0000_t202" style="position:absolute;margin-left:75pt;margin-top:26.95pt;width:269.5pt;height:27.3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97PDgIAAHUEAAAOAAAAZHJzL2Uyb0RvYy54bWysVMFu2zAMvQ/YPwi6L06dttuCOMXWosOA&#10;YS3W7gMUWYoFSKJAqbGzrx8lx+7QnTrsotAUST2+R2ZzNTjLDgqjAd/ws8WSM+UltMbvG/7z8fbd&#10;B85iEr4VFrxq+FFFfrV9+2bTh7WqoQPbKmRUxMd1HxrepRTWVRVlp5yICwjK06UGdCLRJ+6rFkVP&#10;1Z2t6uXysuoB24AgVYzkvRkv+bbU11rJdKd1VInZhhO2VE4s5y6f1XYj1nsUoTPyBEP8AwonjKdH&#10;51I3Ign2hOavUs5IhAg6LSS4CrQ2UpUeqJuz5YtuHjoRVOmFyIlhpin+v7Ly++EemWkbvuLMC0cS&#10;PaohfYaB1ZmcPsQ1xTwEikoDuUnkyR/JmXseNLr8S90wuieajzO1VItJcq7O6/pjfcGZpLvV+eXF&#10;+8J99ZwdMKYvChzLRsORpCuMisO3mAgJhU4h+TEPt8ba7M8QRyjFSkercoD1P5Smzgqi7IgS97tr&#10;i2yUn+aTkE5DQNVLQg7UVPiVuaeUnK3K1L0yf04q74NPc74zHrAQUXZC5QYOgqY5DUUIAq7H+ImK&#10;kYDMRRp2Q9F2lmwH7ZGUpIVNd3RoC33DpTWBsw7w10tfT4vRcE+by5n96mnu8g5NBk7GbjIw2WsY&#10;N014SRUJ5og9fHpKpFgRMkMbgZwg02wXfU97mJfnz+8S9fxvsf0NAAD//wMAUEsDBBQABgAIAAAA&#10;IQBNAjnU3AAAAAoBAAAPAAAAZHJzL2Rvd25yZXYueG1sTI/BTsMwEETvSPyDtUjcqA0oJQ1xKlSJ&#10;CzdKhcTNjbdxhL2OYjdN/p7lBMfZGc2+qbdz8GLCMfWRNNyvFAikNtqeOg2Hj9e7EkTKhqzxkVDD&#10;ggm2zfVVbSobL/SO0z53gksoVUaDy3mopEytw2DSKg5I7J3iGExmOXbSjubC5cHLB6XWMpie+IMz&#10;A+4ctt/7c9DwNH9GHBLu8Os0taPrl9K/LVrf3swvzyAyzvkvDL/4jA4NMx3jmWwSnnWheEvWUDxu&#10;QHBgXW74cGRHlQXIppb/JzQ/AAAA//8DAFBLAQItABQABgAIAAAAIQC2gziS/gAAAOEBAAATAAAA&#10;AAAAAAAAAAAAAAAAAABbQ29udGVudF9UeXBlc10ueG1sUEsBAi0AFAAGAAgAAAAhADj9If/WAAAA&#10;lAEAAAsAAAAAAAAAAAAAAAAALwEAAF9yZWxzLy5yZWxzUEsBAi0AFAAGAAgAAAAhAEC/3s8OAgAA&#10;dQQAAA4AAAAAAAAAAAAAAAAALgIAAGRycy9lMm9Eb2MueG1sUEsBAi0AFAAGAAgAAAAhAE0COdTc&#10;AAAACgEAAA8AAAAAAAAAAAAAAAAAaAQAAGRycy9kb3ducmV2LnhtbFBLBQYAAAAABAAEAPMAAABx&#10;BQAAAAA=&#10;" filled="f" stroked="f">
                <v:textbox style="mso-fit-shape-to-text:t" inset="0,0,0,0">
                  <w:txbxContent>
                    <w:p w:rsidR="00035DBB" w:rsidRDefault="00035DBB" w:rsidP="00035DBB">
                      <w:pPr>
                        <w:pStyle w:val="NormalWeb"/>
                        <w:spacing w:before="0" w:beforeAutospacing="0" w:after="0" w:afterAutospacing="0"/>
                      </w:pPr>
                      <m:oMathPara>
                        <m:oMathParaPr>
                          <m:jc m:val="centerGroup"/>
                        </m:oMathParaPr>
                        <m:oMath>
                          <m:r>
                            <m:rPr>
                              <m:sty m:val="p"/>
                            </m:rPr>
                            <w:rPr>
                              <w:rFonts w:ascii="Cambria Math" w:hAnsi="Cambria Math" w:cstheme="minorBidi"/>
                              <w:color w:val="000000" w:themeColor="text1"/>
                              <w:sz w:val="22"/>
                              <w:szCs w:val="22"/>
                            </w:rPr>
                            <m:t>Return on Equity </m:t>
                          </m:r>
                          <m:d>
                            <m:dPr>
                              <m:ctrlPr>
                                <w:rPr>
                                  <w:rFonts w:ascii="Cambria Math" w:hAnsi="Cambria Math" w:cstheme="minorBidi"/>
                                  <w:i/>
                                  <w:iCs/>
                                  <w:color w:val="000000" w:themeColor="text1"/>
                                  <w:sz w:val="22"/>
                                  <w:szCs w:val="22"/>
                                </w:rPr>
                              </m:ctrlPr>
                            </m:dPr>
                            <m:e>
                              <m:r>
                                <m:rPr>
                                  <m:sty m:val="p"/>
                                </m:rPr>
                                <w:rPr>
                                  <w:rFonts w:ascii="Cambria Math" w:hAnsi="Cambria Math" w:cstheme="minorBidi"/>
                                  <w:color w:val="000000" w:themeColor="text1"/>
                                  <w:sz w:val="22"/>
                                  <w:szCs w:val="22"/>
                                </w:rPr>
                                <m:t>ROE</m:t>
                              </m:r>
                            </m:e>
                          </m:d>
                          <m:r>
                            <m:rPr>
                              <m:sty m:val="p"/>
                            </m:rPr>
                            <w:rPr>
                              <w:rFonts w:ascii="Cambria Math" w:hAnsi="Cambria Math" w:cstheme="minorBidi"/>
                              <w:color w:val="000000" w:themeColor="text1"/>
                              <w:sz w:val="22"/>
                              <w:szCs w:val="22"/>
                            </w:rPr>
                            <m:t>= </m:t>
                          </m:r>
                          <m:f>
                            <m:fPr>
                              <m:ctrlPr>
                                <w:rPr>
                                  <w:rFonts w:ascii="Cambria Math" w:hAnsi="Cambria Math" w:cstheme="minorBidi"/>
                                  <w:i/>
                                  <w:iCs/>
                                  <w:color w:val="000000" w:themeColor="text1"/>
                                  <w:sz w:val="22"/>
                                  <w:szCs w:val="22"/>
                                </w:rPr>
                              </m:ctrlPr>
                            </m:fPr>
                            <m:num>
                              <m:r>
                                <m:rPr>
                                  <m:sty m:val="p"/>
                                </m:rPr>
                                <w:rPr>
                                  <w:rFonts w:ascii="Cambria Math" w:hAnsi="Cambria Math" w:cstheme="minorBidi"/>
                                  <w:color w:val="000000" w:themeColor="text1"/>
                                  <w:sz w:val="22"/>
                                  <w:szCs w:val="22"/>
                                </w:rPr>
                                <m:t>Net Income</m:t>
                              </m:r>
                            </m:num>
                            <m:den>
                              <m:r>
                                <m:rPr>
                                  <m:sty m:val="p"/>
                                </m:rPr>
                                <w:rPr>
                                  <w:rFonts w:ascii="Cambria Math" w:hAnsi="Cambria Math" w:cstheme="minorBidi"/>
                                  <w:color w:val="000000" w:themeColor="text1"/>
                                  <w:sz w:val="22"/>
                                  <w:szCs w:val="22"/>
                                </w:rPr>
                                <m:t>Average shareholders Equity</m:t>
                              </m:r>
                            </m:den>
                          </m:f>
                        </m:oMath>
                      </m:oMathPara>
                    </w:p>
                  </w:txbxContent>
                </v:textbox>
              </v:shape>
            </w:pict>
          </mc:Fallback>
        </mc:AlternateContent>
      </w:r>
      <w:r w:rsidR="00BB2204">
        <w:rPr>
          <w:rFonts w:ascii="Times New Roman" w:hAnsi="Times New Roman" w:cs="Times New Roman"/>
          <w:sz w:val="24"/>
          <w:szCs w:val="24"/>
        </w:rPr>
        <w:t>Return on E</w:t>
      </w:r>
      <w:r w:rsidRPr="00BB2204">
        <w:rPr>
          <w:rFonts w:ascii="Times New Roman" w:hAnsi="Times New Roman" w:cs="Times New Roman"/>
          <w:sz w:val="24"/>
          <w:szCs w:val="24"/>
        </w:rPr>
        <w:t>qu</w:t>
      </w:r>
      <w:r w:rsidR="00BB2204">
        <w:rPr>
          <w:rFonts w:ascii="Times New Roman" w:hAnsi="Times New Roman" w:cs="Times New Roman"/>
          <w:sz w:val="24"/>
          <w:szCs w:val="24"/>
        </w:rPr>
        <w:t>ity R</w:t>
      </w:r>
      <w:r w:rsidRPr="00BB2204">
        <w:rPr>
          <w:rFonts w:ascii="Times New Roman" w:hAnsi="Times New Roman" w:cs="Times New Roman"/>
          <w:sz w:val="24"/>
          <w:szCs w:val="24"/>
        </w:rPr>
        <w:t xml:space="preserve">atio is calculated by the formula; </w:t>
      </w:r>
    </w:p>
    <w:p w:rsidR="00035DBB" w:rsidRPr="00BB2204" w:rsidRDefault="00035DBB" w:rsidP="00BB2204">
      <w:pPr>
        <w:spacing w:line="480" w:lineRule="auto"/>
        <w:rPr>
          <w:rFonts w:ascii="Times New Roman" w:hAnsi="Times New Roman" w:cs="Times New Roman"/>
          <w:sz w:val="24"/>
          <w:szCs w:val="24"/>
        </w:rPr>
      </w:pPr>
    </w:p>
    <w:p w:rsidR="00035DBB" w:rsidRPr="00BB2204" w:rsidRDefault="00035DBB" w:rsidP="00D55889">
      <w:pPr>
        <w:spacing w:line="480" w:lineRule="auto"/>
        <w:rPr>
          <w:rFonts w:ascii="Times New Roman" w:eastAsia="Times New Roman" w:hAnsi="Times New Roman" w:cs="Times New Roman"/>
          <w:color w:val="000000"/>
          <w:sz w:val="24"/>
          <w:szCs w:val="24"/>
        </w:rPr>
      </w:pPr>
      <w:r w:rsidRPr="00BB2204">
        <w:rPr>
          <w:rFonts w:ascii="Times New Roman" w:eastAsia="Times New Roman" w:hAnsi="Times New Roman" w:cs="Times New Roman"/>
          <w:color w:val="000000"/>
          <w:sz w:val="24"/>
          <w:szCs w:val="24"/>
        </w:rPr>
        <w:t xml:space="preserve"> </w:t>
      </w:r>
      <w:r w:rsidR="00405B79">
        <w:rPr>
          <w:rFonts w:ascii="Times New Roman" w:hAnsi="Times New Roman" w:cs="Times New Roman"/>
          <w:sz w:val="24"/>
          <w:szCs w:val="24"/>
        </w:rPr>
        <w:t>Return on E</w:t>
      </w:r>
      <w:r w:rsidR="00405B79" w:rsidRPr="00BB2204">
        <w:rPr>
          <w:rFonts w:ascii="Times New Roman" w:hAnsi="Times New Roman" w:cs="Times New Roman"/>
          <w:sz w:val="24"/>
          <w:szCs w:val="24"/>
        </w:rPr>
        <w:t>qu</w:t>
      </w:r>
      <w:r w:rsidR="00405B79">
        <w:rPr>
          <w:rFonts w:ascii="Times New Roman" w:hAnsi="Times New Roman" w:cs="Times New Roman"/>
          <w:sz w:val="24"/>
          <w:szCs w:val="24"/>
        </w:rPr>
        <w:t>ity R</w:t>
      </w:r>
      <w:r w:rsidR="00405B79" w:rsidRPr="00BB2204">
        <w:rPr>
          <w:rFonts w:ascii="Times New Roman" w:hAnsi="Times New Roman" w:cs="Times New Roman"/>
          <w:sz w:val="24"/>
          <w:szCs w:val="24"/>
        </w:rPr>
        <w:t xml:space="preserve">atio </w:t>
      </w:r>
      <w:r w:rsidR="00405B79">
        <w:rPr>
          <w:rFonts w:ascii="Times New Roman" w:hAnsi="Times New Roman" w:cs="Times New Roman"/>
          <w:sz w:val="24"/>
          <w:szCs w:val="24"/>
        </w:rPr>
        <w:t xml:space="preserve">measures the </w:t>
      </w:r>
      <w:r w:rsidRPr="00BB2204">
        <w:rPr>
          <w:rFonts w:ascii="Times New Roman" w:eastAsia="Times New Roman" w:hAnsi="Times New Roman" w:cs="Times New Roman"/>
          <w:color w:val="000000"/>
          <w:sz w:val="24"/>
          <w:szCs w:val="24"/>
        </w:rPr>
        <w:t>ability</w:t>
      </w:r>
      <w:r w:rsidR="00405B79">
        <w:rPr>
          <w:rFonts w:ascii="Times New Roman" w:eastAsia="Times New Roman" w:hAnsi="Times New Roman" w:cs="Times New Roman"/>
          <w:color w:val="000000"/>
          <w:sz w:val="24"/>
          <w:szCs w:val="24"/>
        </w:rPr>
        <w:t xml:space="preserve"> of a company </w:t>
      </w:r>
      <w:r w:rsidR="00405B79" w:rsidRPr="00BB2204">
        <w:rPr>
          <w:rFonts w:ascii="Times New Roman" w:eastAsia="Times New Roman" w:hAnsi="Times New Roman" w:cs="Times New Roman"/>
          <w:color w:val="000000"/>
          <w:sz w:val="24"/>
          <w:szCs w:val="24"/>
        </w:rPr>
        <w:t>to</w:t>
      </w:r>
      <w:r w:rsidRPr="00BB2204">
        <w:rPr>
          <w:rFonts w:ascii="Times New Roman" w:eastAsia="Times New Roman" w:hAnsi="Times New Roman" w:cs="Times New Roman"/>
          <w:color w:val="000000"/>
          <w:sz w:val="24"/>
          <w:szCs w:val="24"/>
        </w:rPr>
        <w:t xml:space="preserve"> make </w:t>
      </w:r>
      <w:r w:rsidR="00D04C57" w:rsidRPr="00BB2204">
        <w:rPr>
          <w:rFonts w:ascii="Times New Roman" w:eastAsia="Times New Roman" w:hAnsi="Times New Roman" w:cs="Times New Roman"/>
          <w:color w:val="000000"/>
          <w:sz w:val="24"/>
          <w:szCs w:val="24"/>
        </w:rPr>
        <w:t>profits usin</w:t>
      </w:r>
      <w:r w:rsidR="00405B79">
        <w:rPr>
          <w:rFonts w:ascii="Times New Roman" w:eastAsia="Times New Roman" w:hAnsi="Times New Roman" w:cs="Times New Roman"/>
          <w:color w:val="000000"/>
          <w:sz w:val="24"/>
          <w:szCs w:val="24"/>
        </w:rPr>
        <w:t>g the shareholder’s investments.</w:t>
      </w:r>
    </w:p>
    <w:p w:rsidR="00D55889" w:rsidRDefault="00D55889" w:rsidP="00D55889">
      <w:pPr>
        <w:spacing w:line="480" w:lineRule="auto"/>
        <w:rPr>
          <w:rFonts w:ascii="Times New Roman" w:hAnsi="Times New Roman" w:cs="Times New Roman"/>
          <w:sz w:val="24"/>
          <w:szCs w:val="24"/>
        </w:rPr>
      </w:pPr>
      <w:r>
        <w:rPr>
          <w:rFonts w:ascii="Times New Roman" w:hAnsi="Times New Roman" w:cs="Times New Roman"/>
          <w:sz w:val="24"/>
          <w:szCs w:val="24"/>
        </w:rPr>
        <w:t xml:space="preserve">Debt </w:t>
      </w:r>
      <w:r w:rsidR="00405B79">
        <w:rPr>
          <w:rFonts w:ascii="Times New Roman" w:hAnsi="Times New Roman" w:cs="Times New Roman"/>
          <w:sz w:val="24"/>
          <w:szCs w:val="24"/>
        </w:rPr>
        <w:t xml:space="preserve">to Equity Ratio </w:t>
      </w:r>
      <w:r>
        <w:rPr>
          <w:rFonts w:ascii="Times New Roman" w:hAnsi="Times New Roman" w:cs="Times New Roman"/>
          <w:sz w:val="24"/>
          <w:szCs w:val="24"/>
        </w:rPr>
        <w:t>is the ratio of a company’s total liabilities to its total shareholder’s equity. The ratio is used to evaluate the financial leverage of a company. It is calcula</w:t>
      </w:r>
      <w:r w:rsidR="001566A9">
        <w:rPr>
          <w:rFonts w:ascii="Times New Roman" w:hAnsi="Times New Roman" w:cs="Times New Roman"/>
          <w:sz w:val="24"/>
          <w:szCs w:val="24"/>
        </w:rPr>
        <w:t>ted as;</w:t>
      </w:r>
    </w:p>
    <w:p w:rsidR="001566A9" w:rsidRPr="001566A9" w:rsidRDefault="00405B79" w:rsidP="00D55889">
      <w:pPr>
        <w:spacing w:line="480" w:lineRule="auto"/>
        <w:rPr>
          <w:rFonts w:ascii="Times New Roman" w:hAnsi="Times New Roman" w:cs="Times New Roman"/>
          <w:sz w:val="24"/>
          <w:szCs w:val="24"/>
        </w:rPr>
      </w:pPr>
      <m:oMathPara>
        <m:oMath>
          <m:r>
            <m:rPr>
              <m:sty m:val="p"/>
            </m:rPr>
            <w:rPr>
              <w:rFonts w:ascii="Cambria Math" w:hAnsi="Cambria Math" w:cs="Times New Roman"/>
              <w:sz w:val="24"/>
              <w:szCs w:val="24"/>
            </w:rPr>
            <m:t>Debt to Equity R</m:t>
          </m:r>
          <m:r>
            <m:rPr>
              <m:sty m:val="p"/>
            </m:rPr>
            <w:rPr>
              <w:rFonts w:ascii="Cambria Math" w:hAnsi="Cambria Math" w:cs="Times New Roman"/>
              <w:sz w:val="24"/>
              <w:szCs w:val="24"/>
            </w:rPr>
            <m:t xml:space="preserve">atio= </m:t>
          </m:r>
          <m:f>
            <m:fPr>
              <m:ctrlPr>
                <w:rPr>
                  <w:rFonts w:ascii="Cambria Math" w:hAnsi="Cambria Math" w:cs="Times New Roman"/>
                  <w:sz w:val="24"/>
                  <w:szCs w:val="24"/>
                </w:rPr>
              </m:ctrlPr>
            </m:fPr>
            <m:num>
              <m:r>
                <m:rPr>
                  <m:sty m:val="p"/>
                </m:rPr>
                <w:rPr>
                  <w:rFonts w:ascii="Cambria Math" w:hAnsi="Cambria Math" w:cs="Times New Roman"/>
                  <w:sz w:val="24"/>
                  <w:szCs w:val="24"/>
                </w:rPr>
                <m:t>Total Liabilities</m:t>
              </m:r>
            </m:num>
            <m:den>
              <m:r>
                <m:rPr>
                  <m:sty m:val="p"/>
                </m:rPr>
                <w:rPr>
                  <w:rFonts w:ascii="Cambria Math" w:hAnsi="Cambria Math" w:cs="Times New Roman"/>
                  <w:sz w:val="24"/>
                  <w:szCs w:val="24"/>
                </w:rPr>
                <m:t>Total Shareholde</m:t>
              </m:r>
              <m:sSup>
                <m:sSupPr>
                  <m:ctrlPr>
                    <w:rPr>
                      <w:rFonts w:ascii="Cambria Math" w:hAnsi="Cambria Math" w:cs="Times New Roman"/>
                      <w:sz w:val="24"/>
                      <w:szCs w:val="24"/>
                    </w:rPr>
                  </m:ctrlPr>
                </m:sSupPr>
                <m:e>
                  <m:r>
                    <m:rPr>
                      <m:sty m:val="p"/>
                    </m:rPr>
                    <w:rPr>
                      <w:rFonts w:ascii="Cambria Math" w:hAnsi="Cambria Math" w:cs="Times New Roman"/>
                      <w:sz w:val="24"/>
                      <w:szCs w:val="24"/>
                    </w:rPr>
                    <m:t>r</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s Equity</m:t>
              </m:r>
            </m:den>
          </m:f>
        </m:oMath>
      </m:oMathPara>
    </w:p>
    <w:p w:rsidR="00D55889" w:rsidRDefault="001566A9" w:rsidP="00D55889">
      <w:pPr>
        <w:spacing w:line="480" w:lineRule="auto"/>
        <w:rPr>
          <w:rFonts w:ascii="Times New Roman" w:hAnsi="Times New Roman" w:cs="Times New Roman"/>
          <w:sz w:val="24"/>
          <w:szCs w:val="24"/>
        </w:rPr>
      </w:pPr>
      <w:r>
        <w:rPr>
          <w:rFonts w:ascii="Times New Roman" w:hAnsi="Times New Roman" w:cs="Times New Roman"/>
          <w:sz w:val="24"/>
          <w:szCs w:val="24"/>
        </w:rPr>
        <w:t>Ne</w:t>
      </w:r>
      <w:r w:rsidR="00405B79">
        <w:rPr>
          <w:rFonts w:ascii="Times New Roman" w:hAnsi="Times New Roman" w:cs="Times New Roman"/>
          <w:sz w:val="24"/>
          <w:szCs w:val="24"/>
        </w:rPr>
        <w:t>t P</w:t>
      </w:r>
      <w:r>
        <w:rPr>
          <w:rFonts w:ascii="Times New Roman" w:hAnsi="Times New Roman" w:cs="Times New Roman"/>
          <w:sz w:val="24"/>
          <w:szCs w:val="24"/>
        </w:rPr>
        <w:t xml:space="preserve">rofit </w:t>
      </w:r>
      <w:r w:rsidR="00405B79">
        <w:rPr>
          <w:rFonts w:ascii="Times New Roman" w:hAnsi="Times New Roman" w:cs="Times New Roman"/>
          <w:sz w:val="24"/>
          <w:szCs w:val="24"/>
        </w:rPr>
        <w:t>M</w:t>
      </w:r>
      <w:r>
        <w:rPr>
          <w:rFonts w:ascii="Times New Roman" w:hAnsi="Times New Roman" w:cs="Times New Roman"/>
          <w:sz w:val="24"/>
          <w:szCs w:val="24"/>
        </w:rPr>
        <w:t>argin gives the percentage of a company’s revenue left after all the expenses incurred have been deducted from total sales revenue. It is calculated by the formula;</w:t>
      </w:r>
    </w:p>
    <w:p w:rsidR="001566A9" w:rsidRPr="001566A9" w:rsidRDefault="001566A9" w:rsidP="00D55889">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Net profit margin=</m:t>
          </m:r>
          <m:f>
            <m:fPr>
              <m:ctrlPr>
                <w:rPr>
                  <w:rFonts w:ascii="Cambria Math" w:hAnsi="Cambria Math" w:cs="Times New Roman"/>
                  <w:sz w:val="24"/>
                  <w:szCs w:val="24"/>
                </w:rPr>
              </m:ctrlPr>
            </m:fPr>
            <m:num>
              <m:r>
                <m:rPr>
                  <m:sty m:val="p"/>
                </m:rPr>
                <w:rPr>
                  <w:rFonts w:ascii="Cambria Math" w:hAnsi="Cambria Math" w:cs="Times New Roman"/>
                  <w:sz w:val="24"/>
                  <w:szCs w:val="24"/>
                </w:rPr>
                <m:t>Net Income</m:t>
              </m:r>
            </m:num>
            <m:den>
              <m:r>
                <m:rPr>
                  <m:sty m:val="p"/>
                </m:rPr>
                <w:rPr>
                  <w:rFonts w:ascii="Cambria Math" w:hAnsi="Cambria Math" w:cs="Times New Roman"/>
                  <w:sz w:val="24"/>
                  <w:szCs w:val="24"/>
                </w:rPr>
                <m:t>Net sales</m:t>
              </m:r>
            </m:den>
          </m:f>
        </m:oMath>
      </m:oMathPara>
    </w:p>
    <w:p w:rsidR="00405B79" w:rsidRDefault="00405B79" w:rsidP="00D55889">
      <w:pPr>
        <w:spacing w:line="480" w:lineRule="auto"/>
        <w:rPr>
          <w:rFonts w:ascii="Times New Roman" w:eastAsiaTheme="minorEastAsia" w:hAnsi="Times New Roman" w:cs="Times New Roman"/>
          <w:sz w:val="24"/>
          <w:szCs w:val="24"/>
        </w:rPr>
      </w:pPr>
    </w:p>
    <w:p w:rsidR="001566A9" w:rsidRDefault="001566A9" w:rsidP="00D55889">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Gross profit margin is calculated by deducting the total cost of goods sold</w:t>
      </w:r>
      <w:r w:rsidR="001A55BF">
        <w:rPr>
          <w:rFonts w:ascii="Times New Roman" w:eastAsiaTheme="minorEastAsia" w:hAnsi="Times New Roman" w:cs="Times New Roman"/>
          <w:sz w:val="24"/>
          <w:szCs w:val="24"/>
        </w:rPr>
        <w:t xml:space="preserve"> (COGS)</w:t>
      </w:r>
      <w:r>
        <w:rPr>
          <w:rFonts w:ascii="Times New Roman" w:eastAsiaTheme="minorEastAsia" w:hAnsi="Times New Roman" w:cs="Times New Roman"/>
          <w:sz w:val="24"/>
          <w:szCs w:val="24"/>
        </w:rPr>
        <w:t xml:space="preserve"> from the company’s total </w:t>
      </w:r>
      <w:r w:rsidR="00405B79">
        <w:rPr>
          <w:rFonts w:ascii="Times New Roman" w:eastAsiaTheme="minorEastAsia" w:hAnsi="Times New Roman" w:cs="Times New Roman"/>
          <w:sz w:val="24"/>
          <w:szCs w:val="24"/>
        </w:rPr>
        <w:t xml:space="preserve">revenue and dividing the result by the total revenue </w:t>
      </w:r>
      <w:r>
        <w:rPr>
          <w:rFonts w:ascii="Times New Roman" w:eastAsiaTheme="minorEastAsia" w:hAnsi="Times New Roman" w:cs="Times New Roman"/>
          <w:sz w:val="24"/>
          <w:szCs w:val="24"/>
        </w:rPr>
        <w:t xml:space="preserve">and is </w:t>
      </w:r>
      <w:r w:rsidR="00405B79">
        <w:rPr>
          <w:rFonts w:ascii="Times New Roman" w:eastAsiaTheme="minorEastAsia" w:hAnsi="Times New Roman" w:cs="Times New Roman"/>
          <w:sz w:val="24"/>
          <w:szCs w:val="24"/>
        </w:rPr>
        <w:t>given</w:t>
      </w:r>
      <w:r>
        <w:rPr>
          <w:rFonts w:ascii="Times New Roman" w:eastAsiaTheme="minorEastAsia" w:hAnsi="Times New Roman" w:cs="Times New Roman"/>
          <w:sz w:val="24"/>
          <w:szCs w:val="24"/>
        </w:rPr>
        <w:t xml:space="preserve"> </w:t>
      </w:r>
      <w:r w:rsidR="00405B79">
        <w:rPr>
          <w:rFonts w:ascii="Times New Roman" w:eastAsiaTheme="minorEastAsia" w:hAnsi="Times New Roman" w:cs="Times New Roman"/>
          <w:sz w:val="24"/>
          <w:szCs w:val="24"/>
        </w:rPr>
        <w:t>by</w:t>
      </w:r>
      <w:r>
        <w:rPr>
          <w:rFonts w:ascii="Times New Roman" w:eastAsiaTheme="minorEastAsia" w:hAnsi="Times New Roman" w:cs="Times New Roman"/>
          <w:sz w:val="24"/>
          <w:szCs w:val="24"/>
        </w:rPr>
        <w:t xml:space="preserve"> the formula;</w:t>
      </w:r>
    </w:p>
    <w:p w:rsidR="001566A9" w:rsidRPr="00E45B91" w:rsidRDefault="00405B79" w:rsidP="00D55889">
      <w:pPr>
        <w:spacing w:line="480" w:lineRule="auto"/>
        <w:rPr>
          <w:rFonts w:ascii="Times New Roman" w:eastAsiaTheme="minorEastAsia" w:hAnsi="Times New Roman" w:cs="Times New Roman"/>
          <w:sz w:val="24"/>
          <w:szCs w:val="24"/>
        </w:rPr>
      </w:pPr>
      <m:oMathPara>
        <m:oMath>
          <m:r>
            <m:rPr>
              <m:sty m:val="p"/>
            </m:rPr>
            <w:rPr>
              <w:rFonts w:ascii="Cambria Math" w:hAnsi="Cambria Math" w:cs="Times New Roman"/>
              <w:sz w:val="24"/>
              <w:szCs w:val="24"/>
            </w:rPr>
            <m:t>Gross Profit Margin=</m:t>
          </m:r>
          <m:f>
            <m:fPr>
              <m:ctrlPr>
                <w:rPr>
                  <w:rFonts w:ascii="Cambria Math" w:hAnsi="Cambria Math" w:cs="Times New Roman"/>
                  <w:sz w:val="24"/>
                  <w:szCs w:val="24"/>
                </w:rPr>
              </m:ctrlPr>
            </m:fPr>
            <m:num>
              <m:r>
                <m:rPr>
                  <m:sty m:val="p"/>
                </m:rPr>
                <w:rPr>
                  <w:rFonts w:ascii="Cambria Math" w:hAnsi="Cambria Math" w:cs="Times New Roman"/>
                  <w:sz w:val="24"/>
                  <w:szCs w:val="24"/>
                </w:rPr>
                <m:t>Total Revenue-COGS</m:t>
              </m:r>
            </m:num>
            <m:den>
              <m:r>
                <m:rPr>
                  <m:sty m:val="p"/>
                </m:rPr>
                <w:rPr>
                  <w:rFonts w:ascii="Cambria Math" w:hAnsi="Cambria Math" w:cs="Times New Roman"/>
                  <w:sz w:val="24"/>
                  <w:szCs w:val="24"/>
                </w:rPr>
                <m:t>Total revenue</m:t>
              </m:r>
            </m:den>
          </m:f>
        </m:oMath>
      </m:oMathPara>
    </w:p>
    <w:p w:rsidR="00E45B91" w:rsidRPr="00405B79" w:rsidRDefault="00E45B91" w:rsidP="00D55889">
      <w:pPr>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Table 1.</w:t>
      </w:r>
    </w:p>
    <w:tbl>
      <w:tblPr>
        <w:tblStyle w:val="TableGrid"/>
        <w:tblW w:w="0" w:type="auto"/>
        <w:tblLook w:val="04A0" w:firstRow="1" w:lastRow="0" w:firstColumn="1" w:lastColumn="0" w:noHBand="0" w:noVBand="1"/>
      </w:tblPr>
      <w:tblGrid>
        <w:gridCol w:w="3325"/>
        <w:gridCol w:w="1620"/>
        <w:gridCol w:w="2250"/>
        <w:gridCol w:w="1800"/>
      </w:tblGrid>
      <w:tr w:rsidR="00DE77B8" w:rsidTr="00E45B91">
        <w:tc>
          <w:tcPr>
            <w:tcW w:w="3325" w:type="dxa"/>
            <w:shd w:val="clear" w:color="auto" w:fill="DEEAF6" w:themeFill="accent1" w:themeFillTint="33"/>
          </w:tcPr>
          <w:p w:rsidR="00DE77B8" w:rsidRDefault="00E45B91" w:rsidP="00D55889">
            <w:pPr>
              <w:spacing w:line="480" w:lineRule="auto"/>
              <w:rPr>
                <w:rFonts w:ascii="Times New Roman" w:hAnsi="Times New Roman" w:cs="Times New Roman"/>
                <w:sz w:val="24"/>
                <w:szCs w:val="24"/>
              </w:rPr>
            </w:pPr>
            <w:r>
              <w:rPr>
                <w:rFonts w:ascii="Times New Roman" w:hAnsi="Times New Roman" w:cs="Times New Roman"/>
                <w:sz w:val="24"/>
                <w:szCs w:val="24"/>
              </w:rPr>
              <w:t>Metric</w:t>
            </w:r>
          </w:p>
        </w:tc>
        <w:tc>
          <w:tcPr>
            <w:tcW w:w="1620" w:type="dxa"/>
            <w:shd w:val="clear" w:color="auto" w:fill="DEEAF6" w:themeFill="accent1" w:themeFillTint="33"/>
          </w:tcPr>
          <w:p w:rsidR="00DE77B8" w:rsidRDefault="00DE77B8" w:rsidP="00D55889">
            <w:pPr>
              <w:spacing w:line="480" w:lineRule="auto"/>
              <w:rPr>
                <w:rFonts w:ascii="Times New Roman" w:hAnsi="Times New Roman" w:cs="Times New Roman"/>
                <w:sz w:val="24"/>
                <w:szCs w:val="24"/>
              </w:rPr>
            </w:pPr>
            <w:r>
              <w:rPr>
                <w:rFonts w:ascii="Times New Roman" w:hAnsi="Times New Roman" w:cs="Times New Roman"/>
                <w:sz w:val="24"/>
                <w:szCs w:val="24"/>
              </w:rPr>
              <w:t>Apex Printing</w:t>
            </w:r>
          </w:p>
        </w:tc>
        <w:tc>
          <w:tcPr>
            <w:tcW w:w="2250" w:type="dxa"/>
            <w:shd w:val="clear" w:color="auto" w:fill="DEEAF6" w:themeFill="accent1" w:themeFillTint="33"/>
          </w:tcPr>
          <w:p w:rsidR="00DE77B8" w:rsidRDefault="00891FB9" w:rsidP="00D55889">
            <w:pPr>
              <w:spacing w:line="480" w:lineRule="auto"/>
              <w:rPr>
                <w:rFonts w:ascii="Times New Roman" w:hAnsi="Times New Roman" w:cs="Times New Roman"/>
                <w:sz w:val="24"/>
                <w:szCs w:val="24"/>
              </w:rPr>
            </w:pPr>
            <w:r>
              <w:rPr>
                <w:rFonts w:ascii="Times New Roman" w:hAnsi="Times New Roman" w:cs="Times New Roman"/>
                <w:sz w:val="24"/>
                <w:szCs w:val="24"/>
              </w:rPr>
              <w:t>Sappi Global</w:t>
            </w:r>
          </w:p>
        </w:tc>
        <w:tc>
          <w:tcPr>
            <w:tcW w:w="1800" w:type="dxa"/>
            <w:shd w:val="clear" w:color="auto" w:fill="DEEAF6" w:themeFill="accent1" w:themeFillTint="33"/>
          </w:tcPr>
          <w:p w:rsidR="00DE77B8" w:rsidRDefault="00891FB9" w:rsidP="00D55889">
            <w:pPr>
              <w:spacing w:line="480" w:lineRule="auto"/>
              <w:rPr>
                <w:rFonts w:ascii="Times New Roman" w:hAnsi="Times New Roman" w:cs="Times New Roman"/>
                <w:sz w:val="24"/>
                <w:szCs w:val="24"/>
              </w:rPr>
            </w:pPr>
            <w:r>
              <w:rPr>
                <w:rFonts w:ascii="Times New Roman" w:hAnsi="Times New Roman" w:cs="Times New Roman"/>
                <w:sz w:val="24"/>
                <w:szCs w:val="24"/>
              </w:rPr>
              <w:t>Hudson Printing</w:t>
            </w:r>
          </w:p>
        </w:tc>
      </w:tr>
      <w:tr w:rsidR="00DE77B8" w:rsidTr="00E45B91">
        <w:tc>
          <w:tcPr>
            <w:tcW w:w="3325" w:type="dxa"/>
          </w:tcPr>
          <w:p w:rsidR="00DE77B8" w:rsidRPr="00E45B91" w:rsidRDefault="00DE77B8" w:rsidP="00D55889">
            <w:pPr>
              <w:spacing w:line="480" w:lineRule="auto"/>
              <w:rPr>
                <w:rFonts w:ascii="Times New Roman" w:hAnsi="Times New Roman" w:cs="Times New Roman"/>
                <w:b/>
                <w:sz w:val="24"/>
                <w:szCs w:val="24"/>
              </w:rPr>
            </w:pPr>
            <w:r w:rsidRPr="00E45B91">
              <w:rPr>
                <w:rFonts w:ascii="Times New Roman" w:hAnsi="Times New Roman" w:cs="Times New Roman"/>
                <w:b/>
                <w:sz w:val="24"/>
                <w:szCs w:val="24"/>
              </w:rPr>
              <w:t>Current Ratio</w:t>
            </w:r>
          </w:p>
        </w:tc>
        <w:tc>
          <w:tcPr>
            <w:tcW w:w="1620" w:type="dxa"/>
          </w:tcPr>
          <w:p w:rsidR="00DE77B8" w:rsidRDefault="00DE77B8" w:rsidP="00D55889">
            <w:pPr>
              <w:spacing w:line="480" w:lineRule="auto"/>
              <w:rPr>
                <w:rFonts w:ascii="Times New Roman" w:hAnsi="Times New Roman" w:cs="Times New Roman"/>
                <w:sz w:val="24"/>
                <w:szCs w:val="24"/>
              </w:rPr>
            </w:pPr>
            <w:r>
              <w:rPr>
                <w:rFonts w:ascii="Times New Roman" w:hAnsi="Times New Roman" w:cs="Times New Roman"/>
                <w:sz w:val="24"/>
                <w:szCs w:val="24"/>
              </w:rPr>
              <w:t>2.5</w:t>
            </w:r>
          </w:p>
        </w:tc>
        <w:tc>
          <w:tcPr>
            <w:tcW w:w="2250" w:type="dxa"/>
          </w:tcPr>
          <w:p w:rsidR="00DE77B8" w:rsidRDefault="00891FB9" w:rsidP="00D55889">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1800" w:type="dxa"/>
          </w:tcPr>
          <w:p w:rsidR="00DE77B8" w:rsidRDefault="00E45B91" w:rsidP="00D55889">
            <w:pPr>
              <w:spacing w:line="480" w:lineRule="auto"/>
              <w:rPr>
                <w:rFonts w:ascii="Times New Roman" w:hAnsi="Times New Roman" w:cs="Times New Roman"/>
                <w:sz w:val="24"/>
                <w:szCs w:val="24"/>
              </w:rPr>
            </w:pPr>
            <w:r>
              <w:rPr>
                <w:rFonts w:ascii="Times New Roman" w:hAnsi="Times New Roman" w:cs="Times New Roman"/>
                <w:sz w:val="24"/>
                <w:szCs w:val="24"/>
              </w:rPr>
              <w:t>2.1</w:t>
            </w:r>
          </w:p>
        </w:tc>
      </w:tr>
      <w:tr w:rsidR="00DE77B8" w:rsidTr="00E45B91">
        <w:tc>
          <w:tcPr>
            <w:tcW w:w="3325" w:type="dxa"/>
          </w:tcPr>
          <w:p w:rsidR="00DE77B8" w:rsidRPr="00E45B91" w:rsidRDefault="00DE77B8" w:rsidP="00D55889">
            <w:pPr>
              <w:spacing w:line="480" w:lineRule="auto"/>
              <w:rPr>
                <w:rFonts w:ascii="Times New Roman" w:hAnsi="Times New Roman" w:cs="Times New Roman"/>
                <w:b/>
                <w:sz w:val="24"/>
                <w:szCs w:val="24"/>
              </w:rPr>
            </w:pPr>
            <w:r w:rsidRPr="00E45B91">
              <w:rPr>
                <w:rFonts w:ascii="Times New Roman" w:hAnsi="Times New Roman" w:cs="Times New Roman"/>
                <w:b/>
                <w:sz w:val="24"/>
                <w:szCs w:val="24"/>
              </w:rPr>
              <w:t>Debt to Equity Ratio</w:t>
            </w:r>
          </w:p>
        </w:tc>
        <w:tc>
          <w:tcPr>
            <w:tcW w:w="1620" w:type="dxa"/>
          </w:tcPr>
          <w:p w:rsidR="00DE77B8" w:rsidRDefault="00DE77B8" w:rsidP="00D55889">
            <w:pPr>
              <w:spacing w:line="480" w:lineRule="auto"/>
              <w:rPr>
                <w:rFonts w:ascii="Times New Roman" w:hAnsi="Times New Roman" w:cs="Times New Roman"/>
                <w:sz w:val="24"/>
                <w:szCs w:val="24"/>
              </w:rPr>
            </w:pPr>
            <w:r>
              <w:rPr>
                <w:rFonts w:ascii="Times New Roman" w:hAnsi="Times New Roman" w:cs="Times New Roman"/>
                <w:sz w:val="24"/>
                <w:szCs w:val="24"/>
              </w:rPr>
              <w:t>1.9</w:t>
            </w:r>
          </w:p>
        </w:tc>
        <w:tc>
          <w:tcPr>
            <w:tcW w:w="2250" w:type="dxa"/>
          </w:tcPr>
          <w:p w:rsidR="00DE77B8" w:rsidRDefault="00891FB9" w:rsidP="00D55889">
            <w:pPr>
              <w:spacing w:line="480" w:lineRule="auto"/>
              <w:rPr>
                <w:rFonts w:ascii="Times New Roman" w:hAnsi="Times New Roman" w:cs="Times New Roman"/>
                <w:sz w:val="24"/>
                <w:szCs w:val="24"/>
              </w:rPr>
            </w:pPr>
            <w:r>
              <w:rPr>
                <w:rFonts w:ascii="Times New Roman" w:hAnsi="Times New Roman" w:cs="Times New Roman"/>
                <w:sz w:val="24"/>
                <w:szCs w:val="24"/>
              </w:rPr>
              <w:t>1.3</w:t>
            </w:r>
          </w:p>
        </w:tc>
        <w:tc>
          <w:tcPr>
            <w:tcW w:w="1800" w:type="dxa"/>
          </w:tcPr>
          <w:p w:rsidR="00DE77B8" w:rsidRDefault="00E45B91" w:rsidP="00D55889">
            <w:pPr>
              <w:spacing w:line="480" w:lineRule="auto"/>
              <w:rPr>
                <w:rFonts w:ascii="Times New Roman" w:hAnsi="Times New Roman" w:cs="Times New Roman"/>
                <w:sz w:val="24"/>
                <w:szCs w:val="24"/>
              </w:rPr>
            </w:pPr>
            <w:r>
              <w:rPr>
                <w:rFonts w:ascii="Times New Roman" w:hAnsi="Times New Roman" w:cs="Times New Roman"/>
                <w:sz w:val="24"/>
                <w:szCs w:val="24"/>
              </w:rPr>
              <w:t>1.36</w:t>
            </w:r>
          </w:p>
        </w:tc>
      </w:tr>
      <w:tr w:rsidR="00DE77B8" w:rsidTr="00E45B91">
        <w:tc>
          <w:tcPr>
            <w:tcW w:w="3325" w:type="dxa"/>
          </w:tcPr>
          <w:p w:rsidR="00DE77B8" w:rsidRPr="00E45B91" w:rsidRDefault="00DE77B8" w:rsidP="00D55889">
            <w:pPr>
              <w:spacing w:line="480" w:lineRule="auto"/>
              <w:rPr>
                <w:rFonts w:ascii="Times New Roman" w:hAnsi="Times New Roman" w:cs="Times New Roman"/>
                <w:b/>
                <w:sz w:val="24"/>
                <w:szCs w:val="24"/>
              </w:rPr>
            </w:pPr>
            <w:r w:rsidRPr="00E45B91">
              <w:rPr>
                <w:rFonts w:ascii="Times New Roman" w:hAnsi="Times New Roman" w:cs="Times New Roman"/>
                <w:b/>
                <w:sz w:val="24"/>
                <w:szCs w:val="24"/>
              </w:rPr>
              <w:t>Return on Equity Ratio(ROE)</w:t>
            </w:r>
          </w:p>
        </w:tc>
        <w:tc>
          <w:tcPr>
            <w:tcW w:w="1620" w:type="dxa"/>
          </w:tcPr>
          <w:p w:rsidR="00DE77B8" w:rsidRDefault="00DE77B8" w:rsidP="00D55889">
            <w:pPr>
              <w:spacing w:line="480" w:lineRule="auto"/>
              <w:rPr>
                <w:rFonts w:ascii="Times New Roman" w:hAnsi="Times New Roman" w:cs="Times New Roman"/>
                <w:sz w:val="24"/>
                <w:szCs w:val="24"/>
              </w:rPr>
            </w:pPr>
            <w:r>
              <w:rPr>
                <w:rFonts w:ascii="Times New Roman" w:hAnsi="Times New Roman" w:cs="Times New Roman"/>
                <w:sz w:val="24"/>
                <w:szCs w:val="24"/>
              </w:rPr>
              <w:t>0.3</w:t>
            </w:r>
          </w:p>
        </w:tc>
        <w:tc>
          <w:tcPr>
            <w:tcW w:w="2250" w:type="dxa"/>
          </w:tcPr>
          <w:p w:rsidR="00DE77B8" w:rsidRDefault="00E45B91" w:rsidP="00D55889">
            <w:pPr>
              <w:spacing w:line="480" w:lineRule="auto"/>
              <w:rPr>
                <w:rFonts w:ascii="Times New Roman" w:hAnsi="Times New Roman" w:cs="Times New Roman"/>
                <w:sz w:val="24"/>
                <w:szCs w:val="24"/>
              </w:rPr>
            </w:pPr>
            <w:r>
              <w:rPr>
                <w:rFonts w:ascii="Times New Roman" w:hAnsi="Times New Roman" w:cs="Times New Roman"/>
                <w:sz w:val="24"/>
                <w:szCs w:val="24"/>
              </w:rPr>
              <w:t>0.28</w:t>
            </w:r>
          </w:p>
        </w:tc>
        <w:tc>
          <w:tcPr>
            <w:tcW w:w="1800" w:type="dxa"/>
          </w:tcPr>
          <w:p w:rsidR="00DE77B8" w:rsidRDefault="00E45B91" w:rsidP="00D55889">
            <w:pPr>
              <w:spacing w:line="480" w:lineRule="auto"/>
              <w:rPr>
                <w:rFonts w:ascii="Times New Roman" w:hAnsi="Times New Roman" w:cs="Times New Roman"/>
                <w:sz w:val="24"/>
                <w:szCs w:val="24"/>
              </w:rPr>
            </w:pPr>
            <w:r>
              <w:rPr>
                <w:rFonts w:ascii="Times New Roman" w:hAnsi="Times New Roman" w:cs="Times New Roman"/>
                <w:sz w:val="24"/>
                <w:szCs w:val="24"/>
              </w:rPr>
              <w:t>0.3</w:t>
            </w:r>
          </w:p>
        </w:tc>
      </w:tr>
      <w:tr w:rsidR="00DE77B8" w:rsidTr="00E45B91">
        <w:tc>
          <w:tcPr>
            <w:tcW w:w="3325" w:type="dxa"/>
          </w:tcPr>
          <w:p w:rsidR="00DE77B8" w:rsidRPr="00E45B91" w:rsidRDefault="00DE77B8" w:rsidP="00D55889">
            <w:pPr>
              <w:spacing w:line="480" w:lineRule="auto"/>
              <w:rPr>
                <w:rFonts w:ascii="Times New Roman" w:hAnsi="Times New Roman" w:cs="Times New Roman"/>
                <w:b/>
                <w:sz w:val="24"/>
                <w:szCs w:val="24"/>
              </w:rPr>
            </w:pPr>
            <w:r w:rsidRPr="00E45B91">
              <w:rPr>
                <w:rFonts w:ascii="Times New Roman" w:hAnsi="Times New Roman" w:cs="Times New Roman"/>
                <w:b/>
                <w:sz w:val="24"/>
                <w:szCs w:val="24"/>
              </w:rPr>
              <w:t>Net Profit Margin</w:t>
            </w:r>
          </w:p>
        </w:tc>
        <w:tc>
          <w:tcPr>
            <w:tcW w:w="1620" w:type="dxa"/>
          </w:tcPr>
          <w:p w:rsidR="00DE77B8" w:rsidRDefault="00DE77B8" w:rsidP="00D55889">
            <w:pPr>
              <w:spacing w:line="480" w:lineRule="auto"/>
              <w:rPr>
                <w:rFonts w:ascii="Times New Roman" w:hAnsi="Times New Roman" w:cs="Times New Roman"/>
                <w:sz w:val="24"/>
                <w:szCs w:val="24"/>
              </w:rPr>
            </w:pPr>
            <w:r>
              <w:rPr>
                <w:rFonts w:ascii="Times New Roman" w:hAnsi="Times New Roman" w:cs="Times New Roman"/>
                <w:sz w:val="24"/>
                <w:szCs w:val="24"/>
              </w:rPr>
              <w:t>5.8%</w:t>
            </w:r>
          </w:p>
        </w:tc>
        <w:tc>
          <w:tcPr>
            <w:tcW w:w="2250" w:type="dxa"/>
          </w:tcPr>
          <w:p w:rsidR="00DE77B8" w:rsidRDefault="00891FB9" w:rsidP="00D55889">
            <w:pPr>
              <w:spacing w:line="480" w:lineRule="auto"/>
              <w:rPr>
                <w:rFonts w:ascii="Times New Roman" w:hAnsi="Times New Roman" w:cs="Times New Roman"/>
                <w:sz w:val="24"/>
                <w:szCs w:val="24"/>
              </w:rPr>
            </w:pPr>
            <w:r>
              <w:rPr>
                <w:rFonts w:ascii="Times New Roman" w:hAnsi="Times New Roman" w:cs="Times New Roman"/>
                <w:sz w:val="24"/>
                <w:szCs w:val="24"/>
              </w:rPr>
              <w:t>4.3%</w:t>
            </w:r>
          </w:p>
        </w:tc>
        <w:tc>
          <w:tcPr>
            <w:tcW w:w="1800" w:type="dxa"/>
          </w:tcPr>
          <w:p w:rsidR="00DE77B8" w:rsidRDefault="00E45B91" w:rsidP="00D55889">
            <w:pPr>
              <w:spacing w:line="480" w:lineRule="auto"/>
              <w:rPr>
                <w:rFonts w:ascii="Times New Roman" w:hAnsi="Times New Roman" w:cs="Times New Roman"/>
                <w:sz w:val="24"/>
                <w:szCs w:val="24"/>
              </w:rPr>
            </w:pPr>
            <w:r>
              <w:rPr>
                <w:rFonts w:ascii="Times New Roman" w:hAnsi="Times New Roman" w:cs="Times New Roman"/>
                <w:sz w:val="24"/>
                <w:szCs w:val="24"/>
              </w:rPr>
              <w:t>4.0%</w:t>
            </w:r>
          </w:p>
        </w:tc>
      </w:tr>
      <w:tr w:rsidR="00DE77B8" w:rsidTr="00E45B91">
        <w:tc>
          <w:tcPr>
            <w:tcW w:w="3325" w:type="dxa"/>
          </w:tcPr>
          <w:p w:rsidR="00DE77B8" w:rsidRPr="00E45B91" w:rsidRDefault="00DE77B8" w:rsidP="00D55889">
            <w:pPr>
              <w:spacing w:line="480" w:lineRule="auto"/>
              <w:rPr>
                <w:rFonts w:ascii="Times New Roman" w:hAnsi="Times New Roman" w:cs="Times New Roman"/>
                <w:b/>
                <w:sz w:val="24"/>
                <w:szCs w:val="24"/>
              </w:rPr>
            </w:pPr>
            <w:r w:rsidRPr="00E45B91">
              <w:rPr>
                <w:rFonts w:ascii="Times New Roman" w:hAnsi="Times New Roman" w:cs="Times New Roman"/>
                <w:b/>
                <w:sz w:val="24"/>
                <w:szCs w:val="24"/>
              </w:rPr>
              <w:t>Gross Profit Margin</w:t>
            </w:r>
          </w:p>
        </w:tc>
        <w:tc>
          <w:tcPr>
            <w:tcW w:w="1620" w:type="dxa"/>
          </w:tcPr>
          <w:p w:rsidR="00DE77B8" w:rsidRDefault="00DE77B8" w:rsidP="00D55889">
            <w:pPr>
              <w:spacing w:line="480" w:lineRule="auto"/>
              <w:rPr>
                <w:rFonts w:ascii="Times New Roman" w:hAnsi="Times New Roman" w:cs="Times New Roman"/>
                <w:sz w:val="24"/>
                <w:szCs w:val="24"/>
              </w:rPr>
            </w:pPr>
            <w:r>
              <w:rPr>
                <w:rFonts w:ascii="Times New Roman" w:hAnsi="Times New Roman" w:cs="Times New Roman"/>
                <w:sz w:val="24"/>
                <w:szCs w:val="24"/>
              </w:rPr>
              <w:t>21.7%</w:t>
            </w:r>
          </w:p>
        </w:tc>
        <w:tc>
          <w:tcPr>
            <w:tcW w:w="2250" w:type="dxa"/>
          </w:tcPr>
          <w:p w:rsidR="00DE77B8" w:rsidRDefault="00891FB9" w:rsidP="00891FB9">
            <w:pPr>
              <w:spacing w:line="360" w:lineRule="auto"/>
              <w:rPr>
                <w:rFonts w:ascii="Times New Roman" w:hAnsi="Times New Roman" w:cs="Times New Roman"/>
                <w:sz w:val="24"/>
                <w:szCs w:val="24"/>
              </w:rPr>
            </w:pPr>
            <w:r>
              <w:rPr>
                <w:rFonts w:ascii="Times New Roman" w:hAnsi="Times New Roman" w:cs="Times New Roman"/>
                <w:sz w:val="24"/>
                <w:szCs w:val="24"/>
              </w:rPr>
              <w:t>16.0%</w:t>
            </w:r>
          </w:p>
        </w:tc>
        <w:tc>
          <w:tcPr>
            <w:tcW w:w="1800" w:type="dxa"/>
          </w:tcPr>
          <w:p w:rsidR="00DE77B8" w:rsidRDefault="00E45B91" w:rsidP="00D55889">
            <w:pPr>
              <w:spacing w:line="480" w:lineRule="auto"/>
              <w:rPr>
                <w:rFonts w:ascii="Times New Roman" w:hAnsi="Times New Roman" w:cs="Times New Roman"/>
                <w:sz w:val="24"/>
                <w:szCs w:val="24"/>
              </w:rPr>
            </w:pPr>
            <w:r>
              <w:rPr>
                <w:rFonts w:ascii="Times New Roman" w:hAnsi="Times New Roman" w:cs="Times New Roman"/>
                <w:sz w:val="24"/>
                <w:szCs w:val="24"/>
              </w:rPr>
              <w:t>17.0%</w:t>
            </w:r>
          </w:p>
        </w:tc>
      </w:tr>
    </w:tbl>
    <w:p w:rsidR="001566A9" w:rsidRDefault="001566A9" w:rsidP="00D55889">
      <w:pPr>
        <w:spacing w:line="480" w:lineRule="auto"/>
        <w:rPr>
          <w:rFonts w:ascii="Times New Roman" w:hAnsi="Times New Roman" w:cs="Times New Roman"/>
          <w:sz w:val="24"/>
          <w:szCs w:val="24"/>
        </w:rPr>
      </w:pPr>
    </w:p>
    <w:p w:rsidR="00D55889" w:rsidRDefault="00E45B91" w:rsidP="00E45B91">
      <w:pPr>
        <w:spacing w:line="480" w:lineRule="auto"/>
        <w:ind w:firstLine="720"/>
        <w:rPr>
          <w:rFonts w:ascii="Times New Roman" w:hAnsi="Times New Roman" w:cs="Times New Roman"/>
          <w:sz w:val="24"/>
          <w:szCs w:val="24"/>
        </w:rPr>
      </w:pPr>
      <w:r>
        <w:rPr>
          <w:rFonts w:ascii="Times New Roman" w:hAnsi="Times New Roman" w:cs="Times New Roman"/>
          <w:sz w:val="24"/>
          <w:szCs w:val="24"/>
        </w:rPr>
        <w:t>Hence from the above financial metrics, it is clear that Apex Printing Company is better place to invest as compared to Sappi Global and Hudson Printing. This is because the company’s liquidity and leverage is higher as compared to the other two companies</w:t>
      </w:r>
    </w:p>
    <w:p w:rsidR="00D55889" w:rsidRDefault="00D55889" w:rsidP="00BB2204">
      <w:pPr>
        <w:spacing w:line="480" w:lineRule="auto"/>
        <w:jc w:val="center"/>
        <w:rPr>
          <w:rFonts w:ascii="Times New Roman" w:hAnsi="Times New Roman" w:cs="Times New Roman"/>
          <w:sz w:val="24"/>
          <w:szCs w:val="24"/>
        </w:rPr>
      </w:pPr>
    </w:p>
    <w:p w:rsidR="00D55889" w:rsidRDefault="00D55889" w:rsidP="00BB2204">
      <w:pPr>
        <w:spacing w:line="480" w:lineRule="auto"/>
        <w:jc w:val="center"/>
        <w:rPr>
          <w:rFonts w:ascii="Times New Roman" w:hAnsi="Times New Roman" w:cs="Times New Roman"/>
          <w:sz w:val="24"/>
          <w:szCs w:val="24"/>
        </w:rPr>
      </w:pPr>
    </w:p>
    <w:p w:rsidR="00D55889" w:rsidRDefault="00D55889" w:rsidP="00BB2204">
      <w:pPr>
        <w:spacing w:line="480" w:lineRule="auto"/>
        <w:jc w:val="center"/>
        <w:rPr>
          <w:rFonts w:ascii="Times New Roman" w:hAnsi="Times New Roman" w:cs="Times New Roman"/>
          <w:sz w:val="24"/>
          <w:szCs w:val="24"/>
        </w:rPr>
      </w:pPr>
    </w:p>
    <w:p w:rsidR="00D55889" w:rsidRDefault="00D55889" w:rsidP="00BB2204">
      <w:pPr>
        <w:spacing w:line="480" w:lineRule="auto"/>
        <w:jc w:val="center"/>
        <w:rPr>
          <w:rFonts w:ascii="Times New Roman" w:hAnsi="Times New Roman" w:cs="Times New Roman"/>
          <w:sz w:val="24"/>
          <w:szCs w:val="24"/>
        </w:rPr>
      </w:pPr>
    </w:p>
    <w:p w:rsidR="00035DBB" w:rsidRPr="00BB2204" w:rsidRDefault="00035DBB" w:rsidP="00BB2204">
      <w:pPr>
        <w:spacing w:line="480" w:lineRule="auto"/>
        <w:rPr>
          <w:rFonts w:ascii="Times New Roman" w:hAnsi="Times New Roman" w:cs="Times New Roman"/>
          <w:sz w:val="24"/>
          <w:szCs w:val="24"/>
        </w:rPr>
      </w:pPr>
      <w:bookmarkStart w:id="0" w:name="_GoBack"/>
      <w:bookmarkEnd w:id="0"/>
    </w:p>
    <w:sectPr w:rsidR="00035DBB" w:rsidRPr="00BB220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250" w:rsidRDefault="006E0250" w:rsidP="00BB2204">
      <w:pPr>
        <w:spacing w:after="0" w:line="240" w:lineRule="auto"/>
      </w:pPr>
      <w:r>
        <w:separator/>
      </w:r>
    </w:p>
  </w:endnote>
  <w:endnote w:type="continuationSeparator" w:id="0">
    <w:p w:rsidR="006E0250" w:rsidRDefault="006E0250" w:rsidP="00BB2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250" w:rsidRDefault="006E0250" w:rsidP="00BB2204">
      <w:pPr>
        <w:spacing w:after="0" w:line="240" w:lineRule="auto"/>
      </w:pPr>
      <w:r>
        <w:separator/>
      </w:r>
    </w:p>
  </w:footnote>
  <w:footnote w:type="continuationSeparator" w:id="0">
    <w:p w:rsidR="006E0250" w:rsidRDefault="006E0250" w:rsidP="00BB2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204" w:rsidRDefault="00BB2204">
    <w:pPr>
      <w:pStyle w:val="Header"/>
    </w:pPr>
    <w:r>
      <w:t>FINANCIAL METRICS</w:t>
    </w:r>
    <w:r>
      <w:tab/>
    </w:r>
    <w:r>
      <w:tab/>
    </w:r>
    <w:r>
      <w:fldChar w:fldCharType="begin"/>
    </w:r>
    <w:r>
      <w:instrText xml:space="preserve"> PAGE   \* MERGEFORMAT </w:instrText>
    </w:r>
    <w:r>
      <w:fldChar w:fldCharType="separate"/>
    </w:r>
    <w:r w:rsidR="00E45B91">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DBB"/>
    <w:rsid w:val="00035DBB"/>
    <w:rsid w:val="001566A9"/>
    <w:rsid w:val="001A55BF"/>
    <w:rsid w:val="00226AC2"/>
    <w:rsid w:val="003E1389"/>
    <w:rsid w:val="00405B79"/>
    <w:rsid w:val="00406439"/>
    <w:rsid w:val="00662C31"/>
    <w:rsid w:val="006E0250"/>
    <w:rsid w:val="007C76F2"/>
    <w:rsid w:val="00891FB9"/>
    <w:rsid w:val="00B66645"/>
    <w:rsid w:val="00BB2204"/>
    <w:rsid w:val="00CD5F84"/>
    <w:rsid w:val="00D04C57"/>
    <w:rsid w:val="00D55889"/>
    <w:rsid w:val="00DE77B8"/>
    <w:rsid w:val="00E45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F2C57"/>
  <w15:chartTrackingRefBased/>
  <w15:docId w15:val="{A4269EB1-B558-4AEA-B305-AECDB1F2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5DBB"/>
    <w:pPr>
      <w:spacing w:before="100" w:beforeAutospacing="1" w:after="100" w:afterAutospacing="1" w:line="240" w:lineRule="auto"/>
    </w:pPr>
    <w:rPr>
      <w:rFonts w:ascii="Times New Roman" w:eastAsiaTheme="minorEastAsia" w:hAnsi="Times New Roman" w:cs="Times New Roman"/>
      <w:sz w:val="24"/>
      <w:szCs w:val="24"/>
    </w:rPr>
  </w:style>
  <w:style w:type="character" w:styleId="Hyperlink">
    <w:name w:val="Hyperlink"/>
    <w:basedOn w:val="DefaultParagraphFont"/>
    <w:uiPriority w:val="99"/>
    <w:semiHidden/>
    <w:unhideWhenUsed/>
    <w:rsid w:val="00BB2204"/>
    <w:rPr>
      <w:color w:val="0000FF"/>
      <w:u w:val="single"/>
    </w:rPr>
  </w:style>
  <w:style w:type="paragraph" w:styleId="Header">
    <w:name w:val="header"/>
    <w:basedOn w:val="Normal"/>
    <w:link w:val="HeaderChar"/>
    <w:uiPriority w:val="99"/>
    <w:unhideWhenUsed/>
    <w:rsid w:val="00BB2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204"/>
  </w:style>
  <w:style w:type="paragraph" w:styleId="Footer">
    <w:name w:val="footer"/>
    <w:basedOn w:val="Normal"/>
    <w:link w:val="FooterChar"/>
    <w:uiPriority w:val="99"/>
    <w:unhideWhenUsed/>
    <w:rsid w:val="00BB2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204"/>
  </w:style>
  <w:style w:type="character" w:styleId="PlaceholderText">
    <w:name w:val="Placeholder Text"/>
    <w:basedOn w:val="DefaultParagraphFont"/>
    <w:uiPriority w:val="99"/>
    <w:semiHidden/>
    <w:rsid w:val="001566A9"/>
    <w:rPr>
      <w:color w:val="808080"/>
    </w:rPr>
  </w:style>
  <w:style w:type="table" w:styleId="TableGrid">
    <w:name w:val="Table Grid"/>
    <w:basedOn w:val="TableNormal"/>
    <w:uiPriority w:val="39"/>
    <w:rsid w:val="00DE7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492597">
      <w:bodyDiv w:val="1"/>
      <w:marLeft w:val="0"/>
      <w:marRight w:val="0"/>
      <w:marTop w:val="0"/>
      <w:marBottom w:val="0"/>
      <w:divBdr>
        <w:top w:val="none" w:sz="0" w:space="0" w:color="auto"/>
        <w:left w:val="none" w:sz="0" w:space="0" w:color="auto"/>
        <w:bottom w:val="none" w:sz="0" w:space="0" w:color="auto"/>
        <w:right w:val="none" w:sz="0" w:space="0" w:color="auto"/>
      </w:divBdr>
    </w:div>
    <w:div w:id="800609359">
      <w:bodyDiv w:val="1"/>
      <w:marLeft w:val="0"/>
      <w:marRight w:val="0"/>
      <w:marTop w:val="0"/>
      <w:marBottom w:val="0"/>
      <w:divBdr>
        <w:top w:val="none" w:sz="0" w:space="0" w:color="auto"/>
        <w:left w:val="none" w:sz="0" w:space="0" w:color="auto"/>
        <w:bottom w:val="none" w:sz="0" w:space="0" w:color="auto"/>
        <w:right w:val="none" w:sz="0" w:space="0" w:color="auto"/>
      </w:divBdr>
    </w:div>
    <w:div w:id="1389569151">
      <w:bodyDiv w:val="1"/>
      <w:marLeft w:val="0"/>
      <w:marRight w:val="0"/>
      <w:marTop w:val="0"/>
      <w:marBottom w:val="0"/>
      <w:divBdr>
        <w:top w:val="none" w:sz="0" w:space="0" w:color="auto"/>
        <w:left w:val="none" w:sz="0" w:space="0" w:color="auto"/>
        <w:bottom w:val="none" w:sz="0" w:space="0" w:color="auto"/>
        <w:right w:val="none" w:sz="0" w:space="0" w:color="auto"/>
      </w:divBdr>
    </w:div>
    <w:div w:id="1542480615">
      <w:bodyDiv w:val="1"/>
      <w:marLeft w:val="0"/>
      <w:marRight w:val="0"/>
      <w:marTop w:val="0"/>
      <w:marBottom w:val="0"/>
      <w:divBdr>
        <w:top w:val="none" w:sz="0" w:space="0" w:color="auto"/>
        <w:left w:val="none" w:sz="0" w:space="0" w:color="auto"/>
        <w:bottom w:val="none" w:sz="0" w:space="0" w:color="auto"/>
        <w:right w:val="none" w:sz="0" w:space="0" w:color="auto"/>
      </w:divBdr>
    </w:div>
    <w:div w:id="1664313079">
      <w:bodyDiv w:val="1"/>
      <w:marLeft w:val="0"/>
      <w:marRight w:val="0"/>
      <w:marTop w:val="0"/>
      <w:marBottom w:val="0"/>
      <w:divBdr>
        <w:top w:val="none" w:sz="0" w:space="0" w:color="auto"/>
        <w:left w:val="none" w:sz="0" w:space="0" w:color="auto"/>
        <w:bottom w:val="none" w:sz="0" w:space="0" w:color="auto"/>
        <w:right w:val="none" w:sz="0" w:space="0" w:color="auto"/>
      </w:divBdr>
    </w:div>
    <w:div w:id="187703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3</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Mwaura</dc:creator>
  <cp:keywords/>
  <dc:description/>
  <cp:lastModifiedBy>Douglas Mwaura</cp:lastModifiedBy>
  <cp:revision>5</cp:revision>
  <dcterms:created xsi:type="dcterms:W3CDTF">2019-06-05T14:27:00Z</dcterms:created>
  <dcterms:modified xsi:type="dcterms:W3CDTF">2019-06-07T09:05:00Z</dcterms:modified>
</cp:coreProperties>
</file>